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061"/>
        <w:gridCol w:w="5061"/>
      </w:tblGrid>
      <w:tr>
        <w:tc>
          <w:tcPr>
            <w:tcW w:type="dxa" w:w="6696"/>
            <w:shd w:fill="061B2A"/>
            <w:tcMar>
              <w:top w:w="180" w:type="dxa"/>
              <w:start w:w="180" w:type="dxa"/>
              <w:bottom w:w="180" w:type="dxa"/>
              <w:end w:w="180" w:type="dxa"/>
            </w:tcMar>
          </w:tcPr>
          <w:p>
            <w:r>
              <w:drawing>
                <wp:inline xmlns:a="http://schemas.openxmlformats.org/drawingml/2006/main" xmlns:pic="http://schemas.openxmlformats.org/drawingml/2006/picture">
                  <wp:extent cx="1828800" cy="201168"/>
                  <wp:docPr id="1" name="Picture 1"/>
                  <wp:cNvGraphicFramePr>
                    <a:graphicFrameLocks noChangeAspect="1"/>
                  </wp:cNvGraphicFramePr>
                  <a:graphic>
                    <a:graphicData uri="http://schemas.openxmlformats.org/drawingml/2006/picture">
                      <pic:pic>
                        <pic:nvPicPr>
                          <pic:cNvPr id="0" name="logo-white.png"/>
                          <pic:cNvPicPr/>
                        </pic:nvPicPr>
                        <pic:blipFill>
                          <a:blip r:embed="rId11"/>
                          <a:stretch>
                            <a:fillRect/>
                          </a:stretch>
                        </pic:blipFill>
                        <pic:spPr>
                          <a:xfrm>
                            <a:off x="0" y="0"/>
                            <a:ext cx="1828800" cy="201168"/>
                          </a:xfrm>
                          <a:prstGeom prst="rect"/>
                        </pic:spPr>
                      </pic:pic>
                    </a:graphicData>
                  </a:graphic>
                </wp:inline>
              </w:drawing>
            </w:r>
          </w:p>
          <w:p>
            <w:pPr>
              <w:spacing w:after="0"/>
            </w:pPr>
            <w:r>
              <w:rPr>
                <w:rFonts w:ascii="Arial" w:hAnsi="Arial" w:eastAsia="Arial" w:cs="Arial"/>
                <w:color w:val="D4E0E7"/>
                <w:sz w:val="17"/>
              </w:rPr>
              <w:t>Questionnaire de revue de contrepartie pour clients, fournisseurs, partenaires et apporteurs d'affaires.</w:t>
            </w:r>
          </w:p>
        </w:tc>
        <w:tc>
          <w:tcPr>
            <w:tcW w:type="dxa" w:w="3240"/>
            <w:shd w:fill="061B2A"/>
            <w:tcMar>
              <w:top w:w="180" w:type="dxa"/>
              <w:start w:w="180" w:type="dxa"/>
              <w:bottom w:w="180" w:type="dxa"/>
              <w:end w:w="180" w:type="dxa"/>
            </w:tcMar>
          </w:tcPr>
          <w:p>
            <w:pPr>
              <w:jc w:val="right"/>
            </w:pPr>
            <w:r>
              <w:rPr>
                <w:rFonts w:ascii="Arial" w:hAnsi="Arial" w:eastAsia="Arial" w:cs="Arial"/>
                <w:b/>
                <w:color w:val="D7B243"/>
                <w:sz w:val="17"/>
              </w:rPr>
              <w:t>OLYVENRA LTD</w:t>
            </w:r>
          </w:p>
        </w:tc>
      </w:tr>
    </w:tbl>
    <w:p>
      <w:pPr>
        <w:spacing w:before="280" w:after="60"/>
      </w:pPr>
      <w:r>
        <w:rPr>
          <w:rFonts w:ascii="Arial" w:hAnsi="Arial" w:eastAsia="Arial" w:cs="Arial"/>
          <w:b/>
          <w:color w:val="061B2A"/>
          <w:sz w:val="36"/>
        </w:rPr>
        <w:t>Questionnaire de vigilance raisonnable</w:t>
      </w:r>
    </w:p>
    <w:p>
      <w:pPr>
        <w:spacing w:after="200"/>
      </w:pPr>
      <w:r>
        <w:rPr>
          <w:rFonts w:ascii="Arial" w:hAnsi="Arial" w:eastAsia="Arial" w:cs="Arial"/>
          <w:color w:val="526577"/>
          <w:sz w:val="20"/>
        </w:rPr>
        <w:t>Questionnaire de revue de contrepartie pour clients, fournisseurs, partenaires et apporteurs d'affaires.</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Classification</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Formulaire commercial</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Date d'effet</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18 juin 2026</w:t>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Responsable</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Direction OLYVENRA LTD</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Cycle de revue</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Annuel ou plus tôt si nécessaire</w:t>
            </w:r>
          </w:p>
        </w:tc>
      </w:tr>
    </w:tbl>
    <w:p/>
    <w:tbl>
      <w:tblPr>
        <w:tblStyle w:val="TableGrid"/>
        <w:tblW w:type="auto" w:w="0"/>
        <w:jc w:val="center"/>
        <w:tblLook w:firstColumn="1" w:firstRow="1" w:lastColumn="0" w:lastRow="0" w:noHBand="0" w:noVBand="1" w:val="04A0"/>
      </w:tblPr>
      <w:tblGrid>
        <w:gridCol w:w="10123"/>
      </w:tblGrid>
      <w:tr>
        <w:tc>
          <w:tcPr>
            <w:tcW w:type="dxa" w:w="9936"/>
            <w:shd w:fill="F7F4EA"/>
            <w:tcMar>
              <w:top w:w="150" w:type="dxa"/>
              <w:start w:w="170" w:type="dxa"/>
              <w:bottom w:w="150" w:type="dxa"/>
              <w:end w:w="170" w:type="dxa"/>
            </w:tcMar>
          </w:tcPr>
          <w:p>
            <w:pPr>
              <w:spacing w:after="60"/>
            </w:pPr>
            <w:r>
              <w:rPr>
                <w:rFonts w:ascii="Arial" w:hAnsi="Arial" w:eastAsia="Arial" w:cs="Arial"/>
                <w:b/>
                <w:color w:val="061B2A"/>
                <w:sz w:val="20"/>
              </w:rPr>
              <w:t>Instructions de remplissage</w:t>
            </w:r>
          </w:p>
          <w:p>
            <w:pPr>
              <w:spacing w:after="0"/>
            </w:pPr>
            <w:r>
              <w:rPr>
                <w:rFonts w:ascii="Arial" w:hAnsi="Arial" w:eastAsia="Arial" w:cs="Arial"/>
                <w:color w:val="102334"/>
                <w:sz w:val="18"/>
              </w:rPr>
              <w:t>Merci de compléter ce formulaire avec des informations exactes, à jour et vérifiables. OLYVENRA peut demander des justificatifs, informations de vigilance raisonnable supplémentaires ou clarifications avant toute coopération, introduction, assistance d'accès au marché ou échange documentaire.</w:t>
            </w:r>
          </w:p>
          <w:p>
            <w:pPr>
              <w:spacing w:after="0"/>
            </w:pPr>
            <w:r>
              <w:rPr>
                <w:rFonts w:ascii="Arial" w:hAnsi="Arial" w:eastAsia="Arial" w:cs="Arial"/>
                <w:i/>
                <w:color w:val="526577"/>
                <w:sz w:val="17"/>
              </w:rPr>
              <w:t>Les formulaires complétés doivent être envoyés à info@olyvenra.com. La réception de ce formulaire n'oblige pas OLYVENRA à poursuivre.</w:t>
            </w:r>
          </w:p>
        </w:tc>
      </w:tr>
    </w:tbl>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pPr>
            <w:r>
              <w:rPr>
                <w:rFonts w:ascii="Arial" w:hAnsi="Arial" w:eastAsia="Arial" w:cs="Arial"/>
                <w:b/>
                <w:color w:val="061B2A"/>
                <w:sz w:val="18"/>
              </w:rPr>
              <w:t>Objet et utilisation du formulaire</w:t>
            </w:r>
          </w:p>
          <w:p>
            <w:pPr>
              <w:spacing w:after="0"/>
            </w:pPr>
            <w:r>
              <w:rPr>
                <w:rFonts w:ascii="Arial" w:hAnsi="Arial" w:eastAsia="Arial" w:cs="Arial"/>
                <w:color w:val="526577"/>
                <w:sz w:val="17"/>
              </w:rPr>
              <w:t>Ce formulaire recueille les premières informations structurées nécessaires à l'évaluation d'une relation commerciale potentielle. Il aide OLYVENRA à comprendre l'organisation, le besoin commercial, l'autorité de la partie soumettrice et les éventuelles sensibilités de conformité avant tout échange documentaire supplémentaire.</w:t>
            </w:r>
          </w:p>
        </w:tc>
      </w:tr>
    </w:tbl>
    <w:p/>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pPr>
            <w:r>
              <w:rPr>
                <w:rFonts w:ascii="Arial" w:hAnsi="Arial" w:eastAsia="Arial" w:cs="Arial"/>
                <w:b/>
                <w:color w:val="061B2A"/>
                <w:sz w:val="18"/>
              </w:rPr>
              <w:t>Confidentialité, données et gestion documentaire</w:t>
            </w:r>
          </w:p>
          <w:p>
            <w:pPr>
              <w:spacing w:after="0"/>
            </w:pPr>
            <w:r>
              <w:rPr>
                <w:rFonts w:ascii="Arial" w:hAnsi="Arial" w:eastAsia="Arial" w:cs="Arial"/>
                <w:color w:val="526577"/>
                <w:sz w:val="17"/>
              </w:rPr>
              <w:t>Les informations transmises à OLYVENRA sont examinées aux fins d'évaluation commerciale légitime, de revue de contrepartie, de communication et de tenue de registres. Les documents commerciaux sensibles, conditions de frais et modèles contrôlés ne sont émis que lorsque le dossier est qualifié et approuvé.</w:t>
            </w:r>
          </w:p>
        </w:tc>
      </w:tr>
    </w:tbl>
    <w:p/>
    <w:p>
      <w:r>
        <w:br w:type="page"/>
      </w:r>
    </w:p>
    <w:p>
      <w:pPr>
        <w:pStyle w:val="Heading1"/>
      </w:pPr>
      <w:r>
        <w:t>Informations organisation</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Dénomination légale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Numéro d'immatriculation</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Juridiction d'enregistrement</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Adresse enregistrée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Site web</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Propriété et direction</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Structure de propriété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Dirigeants / mandataires / responsables autorisés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Bénéficiaires effectifs ultimes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pPr>
      <w:r>
        <w:t>Conformité et risque</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Exposition sanctions, parties restreintes ou risque élevé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Exposition PPE, sanctions ou médias défavorables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Biens / services réglementés, à double usage ou sensibles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Données personnelles ou informations confidentielles impliquées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Pays bancaire et devise de paiement</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Produits, services et capacité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Secteur / industrie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Produits ou services concernés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Licences, certifications ou standards qualité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Références ou exemples pertinents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pPr>
      <w:r>
        <w:t>Documents justificatifs</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Documents disponibles pour revue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Documents manquants ou questions ouvertes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Checklist de préparation à la soumission</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Contrôle</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Élément de revue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La dénomination, les informations d'immatriculation et l'autorité de contact sont complètes.</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Le besoin commercial ou la demande de coopération est spécifique et praticable.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Toute sensibilité réglementaire, double usage, sanctions, sécurité produit ou confidentialité est déclarée.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Les justificatifs sont disponibles ou clairement identifiés comme en attente.</w:t>
            </w:r>
          </w:p>
        </w:tc>
      </w:tr>
    </w:tbl>
    <w:p>
      <w:pPr>
        <w:pStyle w:val="Heading1"/>
      </w:pPr>
      <w:r>
        <w:t>Critères de revue OLYVENRA</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Contrôle</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Élément de revue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Objet licite et base commerciale crédible.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Rôle attendu d'OLYVENRA clairement défini.</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Identité, propriété et fiabilité de communication de la contrepartie.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Niveau d'accès documentaire adapté au stade de la demande.</w:t>
            </w:r>
          </w:p>
        </w:tc>
      </w:tr>
    </w:tbl>
    <w:p>
      <w:pPr>
        <w:pStyle w:val="Heading1"/>
      </w:pPr>
      <w:r>
        <w:t>Déclaration et autorité</w:t>
      </w:r>
    </w:p>
    <w:p>
      <w:r>
        <w:rPr>
          <w:rFonts w:ascii="Arial" w:hAnsi="Arial" w:eastAsia="Arial" w:cs="Arial"/>
          <w:color w:val="102334"/>
          <w:sz w:val="19"/>
        </w:rPr>
        <w:t>La partie soumettant le formulaire confirme que les informations fournies sont exactes au mieux de sa connaissance, qu'elle est autorisée à soumettre ce formulaire et qu'elle informera OLYVENRA de tout changement matériel.</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Nom</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Fonction / capacité</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Signature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Date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bl>
    <w:p>
      <w:pPr>
        <w:pStyle w:val="Heading2"/>
      </w:pPr>
      <w:r>
        <w:t>Notes de revue OLYVENRA</w:t>
      </w:r>
    </w:p>
    <w:tbl>
      <w:tblPr>
        <w:tblStyle w:val="TableGrid"/>
        <w:tblW w:type="auto" w:w="0"/>
        <w:tblLook w:firstColumn="1" w:firstRow="1" w:lastColumn="0" w:lastRow="0" w:noHBand="0" w:noVBand="1" w:val="04A0"/>
      </w:tblPr>
      <w:tblGrid>
        <w:gridCol w:w="10123"/>
      </w:tblGrid>
      <w:tr>
        <w:tc>
          <w:tcPr>
            <w:tcW w:type="dxa" w:w="9936"/>
            <w:vAlign w:val="center"/>
            <w:tcMar>
              <w:top w:w="420" w:type="dxa"/>
              <w:start w:w="140" w:type="dxa"/>
              <w:bottom w:w="420" w:type="dxa"/>
              <w:end w:w="140" w:type="dxa"/>
            </w:tcMar>
          </w:tcPr>
          <w:p>
            <w:pPr>
              <w:spacing w:after="0"/>
            </w:pPr>
            <w:r/>
            <w:r>
              <w:rPr>
                <w:rFonts w:ascii="Arial" w:hAnsi="Arial" w:eastAsia="Arial" w:cs="Arial"/>
                <w:b w:val="0"/>
                <w:color w:val="102334"/>
                <w:sz w:val="18"/>
              </w:rPr>
            </w:r>
          </w:p>
        </w:tc>
      </w:tr>
    </w:tbl>
    <w:sectPr w:rsidR="00FC693F" w:rsidRPr="0006063C" w:rsidSect="00034616">
      <w:headerReference w:type="default" r:id="rId9"/>
      <w:footerReference w:type="default" r:id="rId10"/>
      <w:pgSz w:w="11909" w:h="16834"/>
      <w:pgMar w:top="835" w:right="893" w:bottom="835" w:left="89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26577"/>
        <w:sz w:val="13"/>
      </w:rPr>
      <w:t>Contrôle documentaire : version actuelle sur olyvenra.com. Toute modification non autorisée ou redistribution trompeuse est interdite.</w:t>
    </w:r>
  </w:p>
  <w:p>
    <w:pPr>
      <w:jc w:val="center"/>
    </w:pPr>
    <w:r>
      <w:rPr>
        <w:rFonts w:ascii="Arial" w:hAnsi="Arial" w:eastAsia="Arial" w:cs="Arial"/>
        <w:color w:val="526577"/>
        <w:sz w:val="14"/>
      </w:rPr>
      <w:t>OLYVENRA LTD | 71-75 Shelton Street, Covent Garden, London WC2H 9JQ | info@olyvenra.com</w:t>
    </w:r>
  </w:p>
  <w:p>
    <w:pPr>
      <w:jc w:val="center"/>
    </w:pPr>
    <w:r>
      <w:rPr>
        <w:rFonts w:ascii="Arial" w:hAnsi="Arial" w:eastAsia="Arial" w:cs="Arial"/>
        <w:color w:val="526577"/>
        <w:sz w:val="13"/>
      </w:rPr>
      <w:t>N° société 17227691 | UEI SAM.gov PJL9G1GFZA24 | ICO ZC160833 | NCAGE U2J37 | UNGM 1229457 | D-U-N-S 234844385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cs="Arial"/>
        <w:color w:val="526577"/>
        <w:sz w:val="16"/>
      </w:rPr>
      <w:t>OLYVENRA LTD | Questionnaire de vigilance raisonnable</w:t>
    </w:r>
  </w:p>
  <w:p>
    <w:r>
      <w:pict>
        <v:shape id="OlyvenraLogoWatermark" o:spid="_x0000_s2049" type="#_x0000_t75" style="position:absolute;margin-left:0;margin-top:0;width:360pt;height:40pt;z-index:-251654144;mso-position-horizontal:center;mso-position-horizontal-relative:page;mso-position-vertical:center;mso-position-vertical-relative:page;mso-wrap-edited:f;" stroked="f">
          <v:fill opacity="0.13"/>
          <v:imagedata r:id="rId1" o:title="OLYVENRA"/>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s="Arial"/>
      <w:color w:val="1023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eastAsia="Arial" w:cs="Arial"/>
      <w:b/>
      <w:bCs/>
      <w:color w:val="061B2A"/>
      <w:sz w:val="3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cs="Arial"/>
      <w:b/>
      <w:bCs/>
      <w:color w:val="061B2A"/>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eastAsia="Arial" w:cs="Arial"/>
      <w:b/>
      <w:bCs/>
      <w:color w:val="061B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olyvenra-watermark.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Olyvenra Due Diligence Questionnaire Fr</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