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18"/>
        </w:rPr>
        <w:t>OLYVENRA LTD</w:t>
      </w:r>
    </w:p>
    <w:p>
      <w:r>
        <w:rPr>
          <w:b/>
          <w:sz w:val="40"/>
        </w:rPr>
        <w:t>Форма KYC / KYB</w:t>
      </w:r>
    </w:p>
    <w:p>
      <w:r>
        <w:rPr>
          <w:sz w:val="18"/>
        </w:rPr>
        <w:t>Українська версія для заповнення. Надання форми не означає автоматичного схвалення або комерційного зобов'язання.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0"/>
        <w:gridCol w:w="5100"/>
      </w:tblGrid>
      <w:tr>
        <w:tc>
          <w:tcPr>
            <w:tcW w:type="dxa" w:w="5100"/>
          </w:tcPr>
          <w:p>
            <w:r>
              <w:t>Запитувана інформація</w:t>
            </w:r>
          </w:p>
        </w:tc>
        <w:tc>
          <w:tcPr>
            <w:tcW w:type="dxa" w:w="5100"/>
          </w:tcPr>
          <w:p>
            <w:r>
              <w:t>Відповідь / примітки</w:t>
            </w:r>
          </w:p>
        </w:tc>
      </w:tr>
      <w:tr>
        <w:tc>
          <w:tcPr>
            <w:tcW w:type="dxa" w:w="5100"/>
          </w:tcPr>
          <w:p>
            <w:r>
              <w:t>Юридична назва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Торгова назва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Реєстраційний номер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Податковий номер - за наявності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Юридична адреса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Фактична адреса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Контактна особа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E-mail / телефон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  <w:tr>
        <w:tc>
          <w:tcPr>
            <w:tcW w:type="dxa" w:w="5100"/>
          </w:tcPr>
          <w:p>
            <w:r>
              <w:t>Банк / платіжна інформація - лише коли запитано через погоджений канал</w:t>
            </w:r>
          </w:p>
        </w:tc>
        <w:tc>
          <w:tcPr>
            <w:tcW w:type="dxa" w:w="5100"/>
          </w:tcPr>
          <w:p>
            <w:r>
              <w:br/>
              <w:br/>
            </w:r>
          </w:p>
        </w:tc>
      </w:tr>
    </w:tbl>
    <w:p>
      <w:r>
        <w:t>Надсилання: info@olyvenra.com</w:t>
      </w:r>
    </w:p>
    <w:sectPr w:rsidR="00FC693F" w:rsidRPr="0006063C" w:rsidSect="00034616"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