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18"/>
        </w:rPr>
        <w:t>OLYVENRA LTD</w:t>
      </w:r>
    </w:p>
    <w:p>
      <w:r>
        <w:rPr>
          <w:b/>
          <w:sz w:val="40"/>
        </w:rPr>
        <w:t>Анкета Due Diligence</w:t>
      </w:r>
    </w:p>
    <w:p>
      <w:r>
        <w:rPr>
          <w:sz w:val="18"/>
        </w:rPr>
        <w:t>Українська версія для заповнення. Надання форми не означає автоматичного схвалення або комерційного зобов'язання.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</w:tcPr>
          <w:p>
            <w:r>
              <w:t>Запитувана інформація</w:t>
            </w:r>
          </w:p>
        </w:tc>
        <w:tc>
          <w:tcPr>
            <w:tcW w:type="dxa" w:w="5100"/>
          </w:tcPr>
          <w:p>
            <w:r>
              <w:t>Відповідь / примітки</w:t>
            </w:r>
          </w:p>
        </w:tc>
      </w:tr>
      <w:tr>
        <w:tc>
          <w:tcPr>
            <w:tcW w:type="dxa" w:w="5100"/>
          </w:tcPr>
          <w:p>
            <w:r>
              <w:t>Повна юридична назва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Реєстраційний номер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Юрисдикція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Кінцеві бенефіціарні власники - за потреби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Основна діяльність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Санкційна / експортно-контрольна чутливість - за потреби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Політики протидії хабарництву та сучасному рабству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Конфлікти інтересів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Підпис / дата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</w:tbl>
    <w:p>
      <w:r>
        <w:t>Надсилання: info@olyvenra.com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