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061"/>
        <w:gridCol w:w="5061"/>
      </w:tblGrid>
      <w:tr>
        <w:tc>
          <w:tcPr>
            <w:tcW w:type="dxa" w:w="6696"/>
            <w:shd w:fill="061B2A"/>
            <w:tcMar>
              <w:top w:w="180" w:type="dxa"/>
              <w:start w:w="180" w:type="dxa"/>
              <w:bottom w:w="180" w:type="dxa"/>
              <w:end w:w="180" w:type="dxa"/>
            </w:tcMar>
          </w:tcPr>
          <w:p>
            <w:r>
              <w:drawing>
                <wp:inline xmlns:a="http://schemas.openxmlformats.org/drawingml/2006/main" xmlns:pic="http://schemas.openxmlformats.org/drawingml/2006/picture">
                  <wp:extent cx="1828800" cy="201168"/>
                  <wp:docPr id="1" name="Picture 1"/>
                  <wp:cNvGraphicFramePr>
                    <a:graphicFrameLocks noChangeAspect="1"/>
                  </wp:cNvGraphicFramePr>
                  <a:graphic>
                    <a:graphicData uri="http://schemas.openxmlformats.org/drawingml/2006/picture">
                      <pic:pic>
                        <pic:nvPicPr>
                          <pic:cNvPr id="0" name="logo-white.png"/>
                          <pic:cNvPicPr/>
                        </pic:nvPicPr>
                        <pic:blipFill>
                          <a:blip r:embed="rId11"/>
                          <a:stretch>
                            <a:fillRect/>
                          </a:stretch>
                        </pic:blipFill>
                        <pic:spPr>
                          <a:xfrm>
                            <a:off x="0" y="0"/>
                            <a:ext cx="1828800" cy="201168"/>
                          </a:xfrm>
                          <a:prstGeom prst="rect"/>
                        </pic:spPr>
                      </pic:pic>
                    </a:graphicData>
                  </a:graphic>
                </wp:inline>
              </w:drawing>
            </w:r>
          </w:p>
          <w:p>
            <w:pPr>
              <w:spacing w:after="0"/>
            </w:pPr>
            <w:r>
              <w:rPr>
                <w:rFonts w:ascii="Arial" w:hAnsi="Arial" w:eastAsia="Arial" w:cs="Arial"/>
                <w:color w:val="D4E0E7"/>
                <w:sz w:val="17"/>
              </w:rPr>
              <w:t>قائمة للإعداد والعناية الواجبة ومراجعة التعاون.</w:t>
            </w:r>
          </w:p>
        </w:tc>
        <w:tc>
          <w:tcPr>
            <w:tcW w:type="dxa" w:w="3240"/>
            <w:shd w:fill="061B2A"/>
            <w:tcMar>
              <w:top w:w="180" w:type="dxa"/>
              <w:start w:w="180" w:type="dxa"/>
              <w:bottom w:w="180" w:type="dxa"/>
              <w:end w:w="180" w:type="dxa"/>
            </w:tcMar>
          </w:tcPr>
          <w:p>
            <w:pPr>
              <w:jc w:val="right"/>
            </w:pPr>
            <w:r>
              <w:rPr>
                <w:rFonts w:ascii="Arial" w:hAnsi="Arial" w:eastAsia="Arial" w:cs="Arial"/>
                <w:b/>
                <w:color w:val="D7B243"/>
                <w:sz w:val="17"/>
              </w:rPr>
              <w:t>OLYVENRA LTD</w:t>
            </w:r>
          </w:p>
        </w:tc>
      </w:tr>
    </w:tbl>
    <w:p>
      <w:pPr>
        <w:spacing w:before="280" w:after="60"/>
        <w:jc w:val="right"/>
      </w:pPr>
      <w:r>
        <w:rPr>
          <w:rFonts w:ascii="Arial" w:hAnsi="Arial" w:eastAsia="Arial" w:cs="Arial"/>
          <w:b/>
          <w:color w:val="061B2A"/>
          <w:sz w:val="36"/>
        </w:rPr>
        <w:t>قائمة مراجعة الوثائق</w:t>
      </w:r>
    </w:p>
    <w:p>
      <w:pPr>
        <w:spacing w:after="200"/>
        <w:jc w:val="right"/>
      </w:pPr>
      <w:r>
        <w:rPr>
          <w:rFonts w:ascii="Arial" w:hAnsi="Arial" w:eastAsia="Arial" w:cs="Arial"/>
          <w:color w:val="526577"/>
          <w:sz w:val="20"/>
        </w:rPr>
        <w:t>قائمة للإعداد والعناية الواجبة ومراجعة التعاون.</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التصنيف</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نموذج أعمال</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تاريخ السريان</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18 يونيو 2026</w:t>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المالك</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إدارة الشركة</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دورة المراجعة</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سنوية أو قبل ذلك عند الحاجة</w:t>
            </w:r>
          </w:p>
        </w:tc>
      </w:tr>
    </w:tbl>
    <w:p/>
    <w:tbl>
      <w:tblPr>
        <w:tblStyle w:val="TableGrid"/>
        <w:tblW w:type="auto" w:w="0"/>
        <w:jc w:val="center"/>
        <w:tblLook w:firstColumn="1" w:firstRow="1" w:lastColumn="0" w:lastRow="0" w:noHBand="0" w:noVBand="1" w:val="04A0"/>
      </w:tblPr>
      <w:tblGrid>
        <w:gridCol w:w="10123"/>
      </w:tblGrid>
      <w:tr>
        <w:tc>
          <w:tcPr>
            <w:tcW w:type="dxa" w:w="9936"/>
            <w:shd w:fill="F7F4EA"/>
            <w:tcMar>
              <w:top w:w="150" w:type="dxa"/>
              <w:start w:w="170" w:type="dxa"/>
              <w:bottom w:w="150" w:type="dxa"/>
              <w:end w:w="170" w:type="dxa"/>
            </w:tcMar>
          </w:tcPr>
          <w:p>
            <w:pPr>
              <w:spacing w:after="60"/>
            </w:pPr>
            <w:r>
              <w:rPr>
                <w:rFonts w:ascii="Arial" w:hAnsi="Arial" w:eastAsia="Arial" w:cs="Arial"/>
                <w:b/>
                <w:color w:val="061B2A"/>
                <w:sz w:val="20"/>
              </w:rPr>
              <w:t>تعليمات الإكمال</w:t>
            </w:r>
          </w:p>
          <w:p>
            <w:pPr>
              <w:spacing w:after="0"/>
            </w:pPr>
            <w:r>
              <w:rPr>
                <w:rFonts w:ascii="Arial" w:hAnsi="Arial" w:eastAsia="Arial" w:cs="Arial"/>
                <w:color w:val="102334"/>
                <w:sz w:val="18"/>
              </w:rPr>
              <w:t>يرجى إكمال النموذج بمعلومات دقيقة وحديثة وقابلة للتحقق. قد تطلب OLYVENRA وثائق داعمة أو معلومات عناية واجبة إضافية أو توضيحات قبل أي تعاون أو تعريف تجاري أو دعم دخول سوق أو تبادل وثائق.</w:t>
            </w:r>
          </w:p>
          <w:p>
            <w:pPr>
              <w:spacing w:after="0"/>
            </w:pPr>
            <w:r>
              <w:rPr>
                <w:rFonts w:ascii="Arial" w:hAnsi="Arial" w:eastAsia="Arial" w:cs="Arial"/>
                <w:i/>
                <w:color w:val="526577"/>
                <w:sz w:val="17"/>
              </w:rPr>
              <w:t>ينبغي إرسال النماذج المكتملة إلى info@olyvenra.com. استلام هذا النموذج لا ينشئ التزاما على OLYVENRA بالمتابعة.</w:t>
            </w:r>
          </w:p>
        </w:tc>
      </w:tr>
    </w:tbl>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jc w:val="right"/>
            </w:pPr>
            <w:r>
              <w:rPr>
                <w:rFonts w:ascii="Arial" w:hAnsi="Arial" w:eastAsia="Arial" w:cs="Arial"/>
                <w:b/>
                <w:color w:val="061B2A"/>
                <w:sz w:val="18"/>
              </w:rPr>
              <w:t>الغرض من النموذج واستخدامه</w:t>
            </w:r>
          </w:p>
          <w:p>
            <w:pPr>
              <w:spacing w:after="0"/>
              <w:jc w:val="right"/>
            </w:pPr>
            <w:r>
              <w:rPr>
                <w:rFonts w:ascii="Arial" w:hAnsi="Arial" w:eastAsia="Arial" w:cs="Arial"/>
                <w:color w:val="526577"/>
                <w:sz w:val="17"/>
              </w:rPr>
              <w:t>يستخدم هذا النموذج لجمع المجموعة الأولى من المعلومات المنظمة اللازمة لتقييم علاقة تجارية محتملة. ويساعد OLYVENRA على فهم المؤسسة والمتطلب التجاري وصلاحية الطرف المرسل وأي حساسية امتثال قبل أي تبادل وثائقي إضافي.</w:t>
            </w:r>
          </w:p>
        </w:tc>
      </w:tr>
    </w:tbl>
    <w:p/>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jc w:val="right"/>
            </w:pPr>
            <w:r>
              <w:rPr>
                <w:rFonts w:ascii="Arial" w:hAnsi="Arial" w:eastAsia="Arial" w:cs="Arial"/>
                <w:b/>
                <w:color w:val="061B2A"/>
                <w:sz w:val="18"/>
              </w:rPr>
              <w:t>السرية والبيانات وإدارة الوثائق</w:t>
            </w:r>
          </w:p>
          <w:p>
            <w:pPr>
              <w:spacing w:after="0"/>
              <w:jc w:val="right"/>
            </w:pPr>
            <w:r>
              <w:rPr>
                <w:rFonts w:ascii="Arial" w:hAnsi="Arial" w:eastAsia="Arial" w:cs="Arial"/>
                <w:color w:val="526577"/>
                <w:sz w:val="17"/>
              </w:rPr>
              <w:t>تراجع المعلومات المقدمة إلى OLYVENRA لأغراض التقييم التجاري المشروع، وفحص الطرف المقابل، والتواصل، وحفظ السجلات. ولا تصدر الوثائق التجارية الحساسة وشروط الرسوم والنماذج الخاضعة للتحكم إلا عندما يكون الملف مؤهلا ومعتمدا.</w:t>
            </w:r>
          </w:p>
        </w:tc>
      </w:tr>
    </w:tbl>
    <w:p/>
    <w:p>
      <w:r>
        <w:br w:type="page"/>
      </w:r>
    </w:p>
    <w:p>
      <w:pPr>
        <w:pStyle w:val="Heading1"/>
        <w:jc w:val="right"/>
      </w:pPr>
      <w:r>
        <w:t>بيانات المؤسسة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شهادة التأسيس / إثبات التسجيل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ملف الشركة / بيان القدرات</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هيكل الملكية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المديرون / المسؤولون / المدراء المخولون</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العنوان المسجل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jc w:val="right"/>
      </w:pPr>
      <w:r>
        <w:t>المنتجات والخدمات والقدرات</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المنتجات أو الخدمات المعنية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نطاق التقنية أو البرمجيات أو الرقمي أو الاستشارات إن وجد</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قوائم المنتجات أو البيانات الفنية أو أوصاف الخدمات</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التراخيص أو الشهادات أو معايير الجودة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مراجع أو أمثلة ذات صلة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jc w:val="right"/>
      </w:pPr>
      <w:r>
        <w:t>الأسواق المستهدفة والتوقيت</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السوق / النطاق المستهدف</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الوضع الحالي في السوق / قنوات البيع الحالية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نموذج القناة المفضل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ملف الموزع / البائع / الشريك المستهدف</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الحاجة إلى خطة عمل أو دعم إطلاق</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jc w:val="right"/>
      </w:pPr>
      <w:r>
        <w:t>الامتثال والمخاطر</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السياسات والتراخيص والشهادات ذات الصلة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التعرض للعقوبات أو الأطراف المقيدة أو المخاطر العالية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سلع / خدمات منظمة أو مزدوجة الاستخدام أو حساسة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بيانات شخصية أو معلومات سرية متضمنة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jc w:val="right"/>
      </w:pPr>
      <w:r>
        <w:t>الوثائق الداعمة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الوثائق المتاحة للمراجعة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وثائق ناقصة أو أسئلة مفتوحة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jc w:val="right"/>
      </w:pPr>
      <w:r>
        <w:t>ملاحظات المراجعة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جهة الاتصال الرئيسية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البريد والهاتف</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صلاحية التقديم / التمثيل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jc w:val="right"/>
      </w:pPr>
      <w:r>
        <w:t>قائمة جاهزية الإرسال</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تحقق</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بند المراجعة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اسم المؤسسة وبيانات التسجيل وصلاحية جهة الاتصال مكتملة.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المتطلب التجاري أو طلب التعاون محدد وقابل للتنفيذ.</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تم الإفصاح عن أي حساسية تنظيمية أو استخدام مزدوج أو عقوبات أو سلامة منتج أو سرية.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الوثائق الداعمة متاحة أو محددة بوضوح كوثائق معلقة.</w:t>
            </w:r>
          </w:p>
        </w:tc>
      </w:tr>
    </w:tbl>
    <w:p>
      <w:pPr>
        <w:pStyle w:val="Heading1"/>
        <w:jc w:val="right"/>
      </w:pPr>
      <w:r>
        <w:t>معايير مراجعة OLYVENRA</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تحقق</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بند المراجعة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غرض قانوني وأساس تجاري موثوق.</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الدور المطلوب من OLYVENRA واضح.</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هوية الطرف المقابل والملكية وموثوقية التواصل.</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مستوى الوصول إلى الوثائق مناسب لمرحلة الطلب.</w:t>
            </w:r>
          </w:p>
        </w:tc>
      </w:tr>
    </w:tbl>
    <w:p>
      <w:pPr>
        <w:pStyle w:val="Heading1"/>
        <w:jc w:val="right"/>
      </w:pPr>
      <w:r>
        <w:t>الإقرار والصلاحية</w:t>
      </w:r>
    </w:p>
    <w:p>
      <w:pPr>
        <w:jc w:val="right"/>
      </w:pPr>
      <w:r>
        <w:rPr>
          <w:rFonts w:ascii="Arial" w:hAnsi="Arial" w:eastAsia="Arial" w:cs="Arial"/>
          <w:color w:val="102334"/>
          <w:sz w:val="19"/>
        </w:rPr>
        <w:t>يؤكد الطرف المرسل أن المعلومات المقدمة صحيحة حسب علمه، وأنه مخول بتقديم هذا النموذج، وأنه سيبلغ OLYVENRA فورا بأي تغييرات جوهرية.</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الاسم</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الصفة / الصلاحية</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التوقيع</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التاريخ</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bl>
    <w:p>
      <w:pPr>
        <w:pStyle w:val="Heading2"/>
        <w:jc w:val="right"/>
      </w:pPr>
      <w:r>
        <w:t>ملاحظات مراجعة OLYVENRA</w:t>
      </w:r>
    </w:p>
    <w:tbl>
      <w:tblPr>
        <w:tblStyle w:val="TableGrid"/>
        <w:tblW w:type="auto" w:w="0"/>
        <w:tblLook w:firstColumn="1" w:firstRow="1" w:lastColumn="0" w:lastRow="0" w:noHBand="0" w:noVBand="1" w:val="04A0"/>
      </w:tblPr>
      <w:tblGrid>
        <w:gridCol w:w="10123"/>
      </w:tblGrid>
      <w:tr>
        <w:tc>
          <w:tcPr>
            <w:tcW w:type="dxa" w:w="9936"/>
            <w:vAlign w:val="center"/>
            <w:tcMar>
              <w:top w:w="420" w:type="dxa"/>
              <w:start w:w="140" w:type="dxa"/>
              <w:bottom w:w="420" w:type="dxa"/>
              <w:end w:w="140" w:type="dxa"/>
            </w:tcMar>
          </w:tcPr>
          <w:p>
            <w:pPr>
              <w:spacing w:after="0"/>
            </w:pPr>
            <w:r/>
            <w:r>
              <w:rPr>
                <w:rFonts w:ascii="Arial" w:hAnsi="Arial" w:eastAsia="Arial" w:cs="Arial"/>
                <w:b w:val="0"/>
                <w:color w:val="102334"/>
                <w:sz w:val="18"/>
              </w:rPr>
            </w:r>
          </w:p>
        </w:tc>
      </w:tr>
    </w:tbl>
    <w:sectPr w:rsidR="00FC693F" w:rsidRPr="0006063C" w:rsidSect="00034616">
      <w:headerReference w:type="default" r:id="rId9"/>
      <w:footerReference w:type="default" r:id="rId10"/>
      <w:pgSz w:w="11909" w:h="16834"/>
      <w:pgMar w:top="835" w:right="893" w:bottom="835" w:left="893" w:header="403" w:footer="403"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26577"/>
        <w:sz w:val="13"/>
      </w:rPr>
      <w:t>التحكم في الوثيقة: النسخة الحالية على olyvenra.com. يحظر التعديل غير المصرح به أو إعادة التوزيع المضللة.</w:t>
    </w:r>
  </w:p>
  <w:p>
    <w:pPr>
      <w:jc w:val="center"/>
    </w:pPr>
    <w:r>
      <w:rPr>
        <w:rFonts w:ascii="Arial" w:hAnsi="Arial" w:eastAsia="Arial" w:cs="Arial"/>
        <w:color w:val="526577"/>
        <w:sz w:val="14"/>
      </w:rPr>
      <w:t>OLYVENRA LTD | 71-75 Shelton Street, Covent Garden, London WC2H 9JQ | info@olyvenra.com</w:t>
    </w:r>
  </w:p>
  <w:p>
    <w:pPr>
      <w:jc w:val="center"/>
    </w:pPr>
    <w:r>
      <w:rPr>
        <w:rFonts w:ascii="Arial" w:hAnsi="Arial" w:eastAsia="Arial" w:cs="Arial"/>
        <w:color w:val="526577"/>
        <w:sz w:val="13"/>
      </w:rPr>
      <w:t>رقم الشركة 17227691 | معرّف SAM.gov UEI PJL9G1GFZA24 | ICO ZC160833 | NCAGE U2J37 | UNGM 1229457 | D-U-N-S 234844385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cs="Arial"/>
        <w:color w:val="526577"/>
        <w:sz w:val="16"/>
      </w:rPr>
      <w:t>OLYVENRA LTD | قائمة مراجعة الوثائق</w:t>
    </w:r>
  </w:p>
  <w:p>
    <w:r>
      <w:pict>
        <v:shape id="OlyvenraLogoWatermark" o:spid="_x0000_s2049" type="#_x0000_t75" style="position:absolute;margin-left:0;margin-top:0;width:360pt;height:40pt;z-index:-251654144;mso-position-horizontal:center;mso-position-horizontal-relative:page;mso-position-vertical:center;mso-position-vertical-relative:page;mso-wrap-edited:f;" stroked="f">
          <v:fill opacity="0.13"/>
          <v:imagedata r:id="rId1" o:title="OLYVENRA"/>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s="Arial"/>
      <w:color w:val="1023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eastAsia="Arial" w:cs="Arial"/>
      <w:b/>
      <w:bCs/>
      <w:color w:val="061B2A"/>
      <w:sz w:val="3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cs="Arial"/>
      <w:b/>
      <w:bCs/>
      <w:color w:val="061B2A"/>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eastAsia="Arial" w:cs="Arial"/>
      <w:b/>
      <w:bCs/>
      <w:color w:val="061B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olyvenra-watermark.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Olyvenra Document Checklist Ar</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